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FF" w:rsidRDefault="00A44182">
      <w:pPr>
        <w:spacing w:line="15" w:lineRule="auto"/>
        <w:rPr>
          <w:rFonts w:ascii="微软雅黑" w:eastAsia="微软雅黑" w:hAnsi="微软雅黑" w:cs="微软雅黑"/>
          <w:b/>
          <w:bCs/>
          <w:sz w:val="28"/>
          <w:szCs w:val="28"/>
        </w:rPr>
      </w:pPr>
      <w:r w:rsidRPr="00A44182">
        <w:rPr>
          <w:sz w:val="28"/>
        </w:rPr>
        <w:pict>
          <v:shapetype id="_x0000_t202" coordsize="21600,21600" o:spt="202" path="m,l,21600r21600,l21600,xe">
            <v:stroke joinstyle="miter"/>
            <v:path gradientshapeok="t" o:connecttype="rect"/>
          </v:shapetype>
          <v:shape id="_x0000_s1026" type="#_x0000_t202" style="position:absolute;left:0;text-align:left;margin-left:53.45pt;margin-top:10.75pt;width:271.8pt;height:38.15pt;z-index:251658240" o:gfxdata="UEsDBAoAAAAAAIdO4kAAAAAAAAAAAAAAAAAEAAAAZHJzL1BLAwQUAAAACACHTuJABsGXWtQAAAAJ&#10;AQAADwAAAGRycy9kb3ducmV2LnhtbE2Py07DMBBF90j8gzVI7KjtCpI2xOkCiS0Sfa3d2MQR9jiy&#10;3efXM6xgeTVH955pV5fg2cmmPEZUIGcCmMU+mhEHBdvN+9MCWC4ajfYRrYKrzbDq7u9a3Zh4xk97&#10;WpeBUQnmRitwpUwN57l3Nug8i5NFun3FFHShmAZukj5TefB8LkTFgx6RFpye7Juz/ff6GBTsh3Db&#10;7+SUnAn+GT9u1802jko9PkjxCqzYS/mD4Vef1KEjp0M8osnMUxbVklAFc/kCjIC6qiWwg4JlvQDe&#10;tfz/B90PUEsDBBQAAAAIAIdO4kBHOz7APwIAAE8EAAAOAAAAZHJzL2Uyb0RvYy54bWytVM2O0zAQ&#10;viPxDpbvND8k227VdFW6KkJasSsVxNl1nDaS4zG226Q8ALwBJy7cea4+B2Mn3S0/J0QP7ozn6zee&#10;b2Y6u+kaSQ7C2BpUQZNRTIlQHMpabQv6/t3qxYQS65gqmQQlCnoUlt7Mnz+btXoqUtiBLIUhSKLs&#10;tNUF3Tmnp1Fk+U40zI5AC4XBCkzDHLpmG5WGtcjeyCiN46uoBVNqA1xYi7e3fZDOA39VCe7uq8oK&#10;R2RB8W0unCacG39G8xmbbg3Tu5oPz2D/8IqG1QqTPlLdMsfI3tR/UDU1N2ChciMOTQRVVXMRasBq&#10;kvi3atY7pkWoBcWx+lEm+/9o+dvDgyF1ib1LKVGswR6dvn45fftx+v6Z4B0K1Go7RdxaI9J1r6BD&#10;8Pne4qWvu6tM47+xIuLj43wcZzklR7STfJJmg9Sic4QjIEuu03SMHeGIyCZZHueeMnpi0sa61wIa&#10;4o2CGmxlUJgd7qzroWeIT2xB1uWqljI4ZrtZSkMODNu+Cp+B/ReYVKQt6NXLPA7MCvzve2qp8DG+&#10;8L5Ab7lu0w1qbKA8ohgG+nmymq9qfOUds+6BGRwgLAyXwt3jUUnAJDBYlOzAfPrbvcdjXzFKSYsD&#10;WVD7cc+MoES+Udjx6yRDEYkLTpaPU3TMZWRzGVH7ZglYfILrp3kwPd7Js1kZaD7g7ix8VgwxxTF3&#10;Qd3ZXLp+TXD3uFgsAghnVjN3p9aae2ovtYLF3kFVh5Z4mXptBvVwakNThw3za3HpB9TT/8D8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bBl1rUAAAACQEAAA8AAAAAAAAAAQAgAAAAIgAAAGRycy9k&#10;b3ducmV2LnhtbFBLAQIUABQAAAAIAIdO4kBHOz7APwIAAE8EAAAOAAAAAAAAAAEAIAAAACMBAABk&#10;cnMvZTJvRG9jLnhtbFBLBQYAAAAABgAGAFkBAADUBQAAAAA=&#10;" fillcolor="white [3201]" stroked="f" strokeweight=".5pt">
            <v:textbox>
              <w:txbxContent>
                <w:p w:rsidR="00C143FF" w:rsidRDefault="00575E11" w:rsidP="00225A04">
                  <w:pPr>
                    <w:spacing w:line="15" w:lineRule="auto"/>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2018年1月</w:t>
                  </w:r>
                  <w:r w:rsidR="00225A04">
                    <w:rPr>
                      <w:rFonts w:ascii="微软雅黑" w:eastAsia="微软雅黑" w:hAnsi="微软雅黑" w:cs="微软雅黑" w:hint="eastAsia"/>
                      <w:b/>
                      <w:bCs/>
                      <w:sz w:val="28"/>
                      <w:szCs w:val="28"/>
                    </w:rPr>
                    <w:t>24</w:t>
                  </w:r>
                  <w:r>
                    <w:rPr>
                      <w:rFonts w:ascii="微软雅黑" w:eastAsia="微软雅黑" w:hAnsi="微软雅黑" w:cs="微软雅黑" w:hint="eastAsia"/>
                      <w:b/>
                      <w:bCs/>
                      <w:sz w:val="28"/>
                      <w:szCs w:val="28"/>
                    </w:rPr>
                    <w:t>日乙二醇</w:t>
                  </w:r>
                  <w:r w:rsidR="00225A04">
                    <w:rPr>
                      <w:rFonts w:ascii="微软雅黑" w:eastAsia="微软雅黑" w:hAnsi="微软雅黑" w:cs="微软雅黑" w:hint="eastAsia"/>
                      <w:b/>
                      <w:bCs/>
                      <w:sz w:val="28"/>
                      <w:szCs w:val="28"/>
                    </w:rPr>
                    <w:t>日</w:t>
                  </w:r>
                  <w:r>
                    <w:rPr>
                      <w:rFonts w:ascii="微软雅黑" w:eastAsia="微软雅黑" w:hAnsi="微软雅黑" w:cs="微软雅黑" w:hint="eastAsia"/>
                      <w:b/>
                      <w:bCs/>
                      <w:sz w:val="28"/>
                      <w:szCs w:val="28"/>
                    </w:rPr>
                    <w:t>度报告</w:t>
                  </w:r>
                </w:p>
                <w:p w:rsidR="00C143FF" w:rsidRDefault="00C143FF" w:rsidP="00225A04">
                  <w:pPr>
                    <w:jc w:val="center"/>
                  </w:pPr>
                </w:p>
              </w:txbxContent>
            </v:textbox>
          </v:shape>
        </w:pict>
      </w:r>
    </w:p>
    <w:p w:rsidR="00C143FF" w:rsidRDefault="00C143FF">
      <w:pPr>
        <w:spacing w:line="15" w:lineRule="auto"/>
        <w:rPr>
          <w:rFonts w:ascii="微软雅黑" w:eastAsia="微软雅黑" w:hAnsi="微软雅黑" w:cs="微软雅黑"/>
          <w:b/>
          <w:bCs/>
          <w:color w:val="2E74B5" w:themeColor="accent1" w:themeShade="BF"/>
          <w:sz w:val="32"/>
          <w:szCs w:val="32"/>
        </w:rPr>
      </w:pPr>
    </w:p>
    <w:p w:rsidR="00C143FF" w:rsidRDefault="00575E11">
      <w:pPr>
        <w:numPr>
          <w:ilvl w:val="0"/>
          <w:numId w:val="1"/>
        </w:numPr>
        <w:spacing w:line="15" w:lineRule="auto"/>
        <w:rPr>
          <w:rFonts w:ascii="微软雅黑" w:eastAsia="微软雅黑" w:hAnsi="微软雅黑" w:cs="微软雅黑"/>
          <w:b/>
          <w:bCs/>
          <w:color w:val="2E74B5" w:themeColor="accent1" w:themeShade="BF"/>
          <w:sz w:val="32"/>
          <w:szCs w:val="32"/>
        </w:rPr>
      </w:pPr>
      <w:r>
        <w:rPr>
          <w:rFonts w:ascii="微软雅黑" w:eastAsia="微软雅黑" w:hAnsi="微软雅黑" w:cs="微软雅黑" w:hint="eastAsia"/>
          <w:b/>
          <w:bCs/>
          <w:color w:val="2E74B5" w:themeColor="accent1" w:themeShade="BF"/>
          <w:sz w:val="32"/>
          <w:szCs w:val="32"/>
        </w:rPr>
        <w:t>供应链</w:t>
      </w:r>
    </w:p>
    <w:p w:rsidR="00C143FF" w:rsidRDefault="00575E11">
      <w:pPr>
        <w:rPr>
          <w:rFonts w:ascii="微软雅黑" w:eastAsia="微软雅黑" w:hAnsi="微软雅黑" w:cs="微软雅黑"/>
          <w:color w:val="333333"/>
          <w:spacing w:val="15"/>
          <w:sz w:val="18"/>
          <w:szCs w:val="18"/>
          <w:shd w:val="clear" w:color="auto" w:fill="FFFFFF"/>
        </w:rPr>
      </w:pPr>
      <w:r>
        <w:rPr>
          <w:rFonts w:ascii="微软雅黑" w:eastAsia="微软雅黑" w:hAnsi="微软雅黑" w:cs="微软雅黑" w:hint="eastAsia"/>
          <w:b/>
          <w:bCs/>
          <w:sz w:val="24"/>
        </w:rPr>
        <w:t>(一）美金市场</w:t>
      </w:r>
    </w:p>
    <w:p w:rsidR="00C143FF" w:rsidRDefault="00E43ABE">
      <w:pPr>
        <w:spacing w:line="120" w:lineRule="auto"/>
        <w:ind w:firstLineChars="200" w:firstLine="540"/>
        <w:rPr>
          <w:rFonts w:ascii="微软雅黑" w:eastAsia="微软雅黑" w:hAnsi="微软雅黑" w:cs="微软雅黑"/>
          <w:color w:val="333333"/>
          <w:spacing w:val="15"/>
          <w:sz w:val="18"/>
          <w:szCs w:val="18"/>
          <w:shd w:val="clear" w:color="auto" w:fill="FFFFFF"/>
        </w:rPr>
      </w:pPr>
      <w:r w:rsidRPr="00E43ABE">
        <w:rPr>
          <w:rFonts w:ascii="微软雅黑" w:eastAsia="微软雅黑" w:hAnsi="微软雅黑" w:cs="微软雅黑" w:hint="eastAsia"/>
          <w:color w:val="333333"/>
          <w:spacing w:val="15"/>
          <w:sz w:val="24"/>
          <w:shd w:val="clear" w:color="auto" w:fill="FFFFFF"/>
        </w:rPr>
        <w:t>1月23日乙二醇美金市场，近期船货卖盘居高，到港船货递盘1007-1015；递盘1005-1006。商谈区间在1005-1010（单位：美元/吨）</w:t>
      </w:r>
    </w:p>
    <w:p w:rsidR="00C143FF" w:rsidRDefault="00575E11" w:rsidP="00E43ABE">
      <w:pPr>
        <w:rPr>
          <w:rFonts w:ascii="微软雅黑" w:eastAsia="微软雅黑" w:hAnsi="微软雅黑" w:cs="微软雅黑"/>
          <w:b/>
          <w:bCs/>
          <w:sz w:val="24"/>
        </w:rPr>
      </w:pPr>
      <w:r>
        <w:rPr>
          <w:rFonts w:ascii="微软雅黑" w:eastAsia="微软雅黑" w:hAnsi="微软雅黑" w:cs="微软雅黑" w:hint="eastAsia"/>
          <w:b/>
          <w:bCs/>
          <w:sz w:val="24"/>
        </w:rPr>
        <w:t>(二）国内部分厂家动态</w:t>
      </w:r>
      <w:r w:rsidR="00E43ABE">
        <w:rPr>
          <w:rFonts w:ascii="微软雅黑" w:eastAsia="微软雅黑" w:hAnsi="微软雅黑" w:cs="微软雅黑" w:hint="eastAsia"/>
          <w:b/>
          <w:bCs/>
          <w:sz w:val="24"/>
        </w:rPr>
        <w:t>（暂无更新）</w:t>
      </w:r>
    </w:p>
    <w:p w:rsidR="00E43ABE" w:rsidRDefault="00E43ABE" w:rsidP="00E43ABE">
      <w:pPr>
        <w:rPr>
          <w:rFonts w:ascii="微软雅黑" w:eastAsia="微软雅黑" w:hAnsi="微软雅黑" w:cs="微软雅黑"/>
          <w:b/>
          <w:bCs/>
          <w:sz w:val="24"/>
        </w:rPr>
      </w:pPr>
    </w:p>
    <w:p w:rsidR="00E43ABE" w:rsidRDefault="00E43ABE" w:rsidP="00E43ABE">
      <w:pPr>
        <w:rPr>
          <w:rFonts w:ascii="微软雅黑" w:eastAsia="微软雅黑" w:hAnsi="微软雅黑" w:cs="微软雅黑"/>
          <w:color w:val="333333"/>
          <w:spacing w:val="15"/>
          <w:sz w:val="18"/>
          <w:szCs w:val="18"/>
          <w:shd w:val="clear" w:color="auto" w:fill="FFFFFF"/>
        </w:rPr>
      </w:pPr>
    </w:p>
    <w:p w:rsidR="00E43ABE" w:rsidRDefault="00E43ABE" w:rsidP="00E43ABE">
      <w:pPr>
        <w:numPr>
          <w:ilvl w:val="0"/>
          <w:numId w:val="1"/>
        </w:numPr>
        <w:spacing w:line="15" w:lineRule="auto"/>
        <w:rPr>
          <w:rFonts w:ascii="微软雅黑" w:eastAsia="微软雅黑" w:hAnsi="微软雅黑" w:cs="微软雅黑"/>
          <w:b/>
          <w:bCs/>
          <w:color w:val="2E74B5" w:themeColor="accent1" w:themeShade="BF"/>
          <w:sz w:val="32"/>
          <w:szCs w:val="32"/>
        </w:rPr>
      </w:pPr>
      <w:r>
        <w:rPr>
          <w:rFonts w:ascii="微软雅黑" w:eastAsia="微软雅黑" w:hAnsi="微软雅黑" w:cs="微软雅黑" w:hint="eastAsia"/>
          <w:b/>
          <w:bCs/>
          <w:color w:val="2E74B5" w:themeColor="accent1" w:themeShade="BF"/>
          <w:sz w:val="32"/>
          <w:szCs w:val="32"/>
        </w:rPr>
        <w:t>客户端</w:t>
      </w:r>
    </w:p>
    <w:tbl>
      <w:tblPr>
        <w:tblW w:w="8640" w:type="dxa"/>
        <w:tblLayout w:type="fixed"/>
        <w:tblCellMar>
          <w:top w:w="15" w:type="dxa"/>
          <w:left w:w="15" w:type="dxa"/>
          <w:bottom w:w="15" w:type="dxa"/>
          <w:right w:w="15" w:type="dxa"/>
        </w:tblCellMar>
        <w:tblLook w:val="04A0"/>
      </w:tblPr>
      <w:tblGrid>
        <w:gridCol w:w="1144"/>
        <w:gridCol w:w="1144"/>
        <w:gridCol w:w="1145"/>
        <w:gridCol w:w="1144"/>
        <w:gridCol w:w="1145"/>
        <w:gridCol w:w="477"/>
        <w:gridCol w:w="859"/>
        <w:gridCol w:w="975"/>
        <w:gridCol w:w="607"/>
      </w:tblGrid>
      <w:tr w:rsidR="00E43ABE" w:rsidTr="00E43ABE">
        <w:trPr>
          <w:trHeight w:val="410"/>
        </w:trPr>
        <w:tc>
          <w:tcPr>
            <w:tcW w:w="8640" w:type="dxa"/>
            <w:gridSpan w:val="9"/>
            <w:shd w:val="clear" w:color="auto" w:fill="FFFFFF"/>
            <w:vAlign w:val="center"/>
          </w:tcPr>
          <w:p w:rsidR="00E43ABE" w:rsidRDefault="00E43ABE" w:rsidP="005E501A">
            <w:pPr>
              <w:widowControl/>
              <w:jc w:val="left"/>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rPr>
              <w:t>下游概况</w:t>
            </w:r>
          </w:p>
        </w:tc>
      </w:tr>
      <w:tr w:rsidR="00E43ABE" w:rsidTr="00E43ABE">
        <w:trPr>
          <w:trHeight w:val="389"/>
        </w:trPr>
        <w:tc>
          <w:tcPr>
            <w:tcW w:w="1144" w:type="dxa"/>
            <w:shd w:val="clear" w:color="auto" w:fill="E7E6E6" w:themeFill="background2"/>
            <w:vAlign w:val="center"/>
          </w:tcPr>
          <w:p w:rsidR="00E43ABE" w:rsidRDefault="00E43ABE" w:rsidP="005E501A">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rPr>
              <w:t>产品</w:t>
            </w:r>
          </w:p>
        </w:tc>
        <w:tc>
          <w:tcPr>
            <w:tcW w:w="3433" w:type="dxa"/>
            <w:gridSpan w:val="3"/>
            <w:shd w:val="clear" w:color="auto" w:fill="E7E6E6" w:themeFill="background2"/>
            <w:vAlign w:val="center"/>
          </w:tcPr>
          <w:p w:rsidR="00E43ABE" w:rsidRDefault="00E43ABE" w:rsidP="005E501A">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rPr>
              <w:t>日期</w:t>
            </w:r>
          </w:p>
        </w:tc>
        <w:tc>
          <w:tcPr>
            <w:tcW w:w="1145" w:type="dxa"/>
            <w:shd w:val="clear" w:color="auto" w:fill="E7E6E6" w:themeFill="background2"/>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平均开工率</w:t>
            </w:r>
          </w:p>
        </w:tc>
        <w:tc>
          <w:tcPr>
            <w:tcW w:w="477" w:type="dxa"/>
            <w:shd w:val="clear" w:color="auto" w:fill="E7E6E6" w:themeFill="background2"/>
            <w:vAlign w:val="center"/>
          </w:tcPr>
          <w:p w:rsidR="00E43ABE" w:rsidRDefault="00E43ABE" w:rsidP="005E501A">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 xml:space="preserve"> </w:t>
            </w:r>
          </w:p>
        </w:tc>
        <w:tc>
          <w:tcPr>
            <w:tcW w:w="2441" w:type="dxa"/>
            <w:gridSpan w:val="3"/>
            <w:shd w:val="clear" w:color="auto" w:fill="E7E6E6" w:themeFill="background2"/>
            <w:vAlign w:val="center"/>
          </w:tcPr>
          <w:p w:rsidR="00E43ABE" w:rsidRDefault="00E43ABE" w:rsidP="005E501A">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rPr>
              <w:t xml:space="preserve">   价格涨跌</w:t>
            </w:r>
          </w:p>
        </w:tc>
      </w:tr>
      <w:tr w:rsidR="00E43ABE" w:rsidTr="00E43ABE">
        <w:trPr>
          <w:trHeight w:val="389"/>
        </w:trPr>
        <w:tc>
          <w:tcPr>
            <w:tcW w:w="1144"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江浙长丝</w:t>
            </w:r>
          </w:p>
        </w:tc>
        <w:tc>
          <w:tcPr>
            <w:tcW w:w="1144" w:type="dxa"/>
            <w:tcBorders>
              <w:bottom w:val="single" w:sz="12" w:space="0" w:color="65ABDD"/>
            </w:tcBorders>
            <w:shd w:val="clear" w:color="auto" w:fill="FFFFFF"/>
            <w:vAlign w:val="center"/>
          </w:tcPr>
          <w:p w:rsidR="00E43ABE" w:rsidRDefault="00E43ABE" w:rsidP="00E43ABE">
            <w:pPr>
              <w:widowControl/>
              <w:jc w:val="righ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2018/1/22</w:t>
            </w:r>
          </w:p>
        </w:tc>
        <w:tc>
          <w:tcPr>
            <w:tcW w:w="1145"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w:t>
            </w:r>
          </w:p>
        </w:tc>
        <w:tc>
          <w:tcPr>
            <w:tcW w:w="1144" w:type="dxa"/>
            <w:tcBorders>
              <w:bottom w:val="single" w:sz="12" w:space="0" w:color="65ABDD"/>
            </w:tcBorders>
            <w:shd w:val="clear" w:color="auto" w:fill="FFFFFF"/>
            <w:vAlign w:val="center"/>
          </w:tcPr>
          <w:p w:rsidR="00E43ABE" w:rsidRDefault="00E43ABE" w:rsidP="005E501A">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2018/1/27</w:t>
            </w:r>
          </w:p>
        </w:tc>
        <w:tc>
          <w:tcPr>
            <w:tcW w:w="1145"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 xml:space="preserve"> </w:t>
            </w:r>
          </w:p>
        </w:tc>
        <w:tc>
          <w:tcPr>
            <w:tcW w:w="477"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 xml:space="preserve"> </w:t>
            </w:r>
          </w:p>
        </w:tc>
        <w:tc>
          <w:tcPr>
            <w:tcW w:w="859" w:type="dxa"/>
            <w:tcBorders>
              <w:bottom w:val="single" w:sz="12" w:space="0" w:color="65ABDD"/>
            </w:tcBorders>
            <w:shd w:val="clear" w:color="auto" w:fill="FFFFFF"/>
            <w:vAlign w:val="center"/>
          </w:tcPr>
          <w:p w:rsidR="00E43ABE" w:rsidRDefault="00E43ABE" w:rsidP="005E501A">
            <w:pPr>
              <w:widowControl/>
              <w:wordWrap w:val="0"/>
              <w:jc w:val="righ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 xml:space="preserve"> </w:t>
            </w:r>
          </w:p>
        </w:tc>
        <w:tc>
          <w:tcPr>
            <w:tcW w:w="975"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100-100</w:t>
            </w:r>
          </w:p>
        </w:tc>
        <w:tc>
          <w:tcPr>
            <w:tcW w:w="607" w:type="dxa"/>
            <w:tcBorders>
              <w:bottom w:val="single" w:sz="12" w:space="0" w:color="65ABDD"/>
            </w:tcBorders>
            <w:shd w:val="clear" w:color="auto" w:fill="FFFFFF"/>
            <w:vAlign w:val="center"/>
          </w:tcPr>
          <w:p w:rsidR="00E43ABE" w:rsidRDefault="00E43ABE" w:rsidP="005E501A">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 xml:space="preserve"> </w:t>
            </w:r>
          </w:p>
        </w:tc>
      </w:tr>
      <w:tr w:rsidR="00E43ABE" w:rsidTr="00E43ABE">
        <w:trPr>
          <w:trHeight w:val="458"/>
        </w:trPr>
        <w:tc>
          <w:tcPr>
            <w:tcW w:w="1144"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浙江聚酯切片</w:t>
            </w:r>
          </w:p>
        </w:tc>
        <w:tc>
          <w:tcPr>
            <w:tcW w:w="1144" w:type="dxa"/>
            <w:tcBorders>
              <w:bottom w:val="single" w:sz="12" w:space="0" w:color="65ABDD"/>
            </w:tcBorders>
            <w:shd w:val="clear" w:color="auto" w:fill="FFFFFF"/>
            <w:vAlign w:val="center"/>
          </w:tcPr>
          <w:p w:rsidR="00E43ABE" w:rsidRDefault="00E43ABE" w:rsidP="005E501A">
            <w:pPr>
              <w:widowControl/>
              <w:jc w:val="righ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2018/1/22</w:t>
            </w:r>
          </w:p>
        </w:tc>
        <w:tc>
          <w:tcPr>
            <w:tcW w:w="1145"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w:t>
            </w:r>
          </w:p>
        </w:tc>
        <w:tc>
          <w:tcPr>
            <w:tcW w:w="1144" w:type="dxa"/>
            <w:tcBorders>
              <w:bottom w:val="single" w:sz="12" w:space="0" w:color="65ABDD"/>
            </w:tcBorders>
            <w:shd w:val="clear" w:color="auto" w:fill="FFFFFF"/>
            <w:vAlign w:val="center"/>
          </w:tcPr>
          <w:p w:rsidR="00E43ABE" w:rsidRDefault="00E43ABE" w:rsidP="005E501A">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2018/1/27</w:t>
            </w:r>
          </w:p>
        </w:tc>
        <w:tc>
          <w:tcPr>
            <w:tcW w:w="1145"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 xml:space="preserve"> </w:t>
            </w:r>
          </w:p>
        </w:tc>
        <w:tc>
          <w:tcPr>
            <w:tcW w:w="477" w:type="dxa"/>
            <w:tcBorders>
              <w:bottom w:val="single" w:sz="12" w:space="0" w:color="65ABDD"/>
            </w:tcBorders>
            <w:shd w:val="clear" w:color="auto" w:fill="FFFFFF"/>
            <w:vAlign w:val="center"/>
          </w:tcPr>
          <w:p w:rsidR="00E43ABE" w:rsidRDefault="00E43ABE" w:rsidP="005E501A">
            <w:pPr>
              <w:jc w:val="center"/>
              <w:rPr>
                <w:rFonts w:ascii="微软雅黑" w:eastAsia="微软雅黑" w:hAnsi="微软雅黑" w:cs="微软雅黑"/>
                <w:color w:val="000000"/>
                <w:sz w:val="16"/>
                <w:szCs w:val="16"/>
              </w:rPr>
            </w:pPr>
          </w:p>
        </w:tc>
        <w:tc>
          <w:tcPr>
            <w:tcW w:w="859" w:type="dxa"/>
            <w:tcBorders>
              <w:bottom w:val="single" w:sz="12" w:space="0" w:color="65ABDD"/>
            </w:tcBorders>
            <w:shd w:val="clear" w:color="auto" w:fill="FFFFFF"/>
            <w:vAlign w:val="center"/>
          </w:tcPr>
          <w:p w:rsidR="00E43ABE" w:rsidRDefault="00E43ABE" w:rsidP="005E501A">
            <w:pPr>
              <w:widowControl/>
              <w:wordWrap w:val="0"/>
              <w:jc w:val="righ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 xml:space="preserve"> </w:t>
            </w:r>
          </w:p>
        </w:tc>
        <w:tc>
          <w:tcPr>
            <w:tcW w:w="975" w:type="dxa"/>
            <w:tcBorders>
              <w:bottom w:val="single" w:sz="12" w:space="0" w:color="65ABDD"/>
            </w:tcBorders>
            <w:shd w:val="clear" w:color="auto" w:fill="FFFFFF"/>
            <w:vAlign w:val="center"/>
          </w:tcPr>
          <w:p w:rsidR="00E43ABE" w:rsidRDefault="00E43ABE" w:rsidP="005E501A">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300-300</w:t>
            </w:r>
          </w:p>
        </w:tc>
        <w:tc>
          <w:tcPr>
            <w:tcW w:w="607" w:type="dxa"/>
            <w:tcBorders>
              <w:bottom w:val="single" w:sz="12" w:space="0" w:color="65ABDD"/>
            </w:tcBorders>
            <w:shd w:val="clear" w:color="auto" w:fill="FFFFFF"/>
            <w:vAlign w:val="center"/>
          </w:tcPr>
          <w:p w:rsidR="00E43ABE" w:rsidRDefault="00E43ABE" w:rsidP="005E501A">
            <w:pPr>
              <w:widowControl/>
              <w:jc w:val="left"/>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rPr>
              <w:t xml:space="preserve"> </w:t>
            </w:r>
          </w:p>
        </w:tc>
      </w:tr>
    </w:tbl>
    <w:p w:rsidR="00E43ABE" w:rsidRPr="00E43ABE" w:rsidRDefault="00E43ABE" w:rsidP="00E43ABE">
      <w:pPr>
        <w:ind w:firstLineChars="200" w:firstLine="540"/>
        <w:rPr>
          <w:rFonts w:ascii="微软雅黑" w:eastAsia="微软雅黑" w:hAnsi="微软雅黑" w:cs="微软雅黑"/>
          <w:color w:val="333333"/>
          <w:spacing w:val="15"/>
          <w:sz w:val="24"/>
          <w:shd w:val="clear" w:color="auto" w:fill="FFFFFF"/>
        </w:rPr>
      </w:pPr>
      <w:r w:rsidRPr="00E43ABE">
        <w:rPr>
          <w:rFonts w:ascii="微软雅黑" w:eastAsia="微软雅黑" w:hAnsi="微软雅黑" w:cs="微软雅黑" w:hint="eastAsia"/>
          <w:color w:val="333333"/>
          <w:spacing w:val="15"/>
          <w:sz w:val="24"/>
          <w:shd w:val="clear" w:color="auto" w:fill="FFFFFF"/>
        </w:rPr>
        <w:t>受禁废政策影响，2018年始我国再生聚酯纤维产能或逐步萎缩。而与此同时，由于再生聚酯产业不得不放弃的部分市场份额终将令我国原生聚酯产业获益，尤其是原生直纺涤纶短纤行业，由于下游消费领域的重叠性较高，故短纤产业受益尤为明显。江浙直纺产销局部回升，据悉产销率平均达到120-130%。</w:t>
      </w:r>
    </w:p>
    <w:p w:rsidR="00E43ABE" w:rsidRPr="00E43ABE" w:rsidRDefault="00E43ABE" w:rsidP="00E43ABE">
      <w:pPr>
        <w:pStyle w:val="a7"/>
        <w:widowControl/>
        <w:shd w:val="clear" w:color="auto" w:fill="FFFFFF"/>
        <w:spacing w:before="210" w:beforeAutospacing="0" w:after="210" w:afterAutospacing="0"/>
        <w:ind w:firstLine="420"/>
        <w:rPr>
          <w:rFonts w:ascii="微软雅黑" w:eastAsia="微软雅黑" w:hAnsi="微软雅黑" w:cs="微软雅黑"/>
          <w:color w:val="333333"/>
          <w:spacing w:val="15"/>
          <w:kern w:val="2"/>
          <w:shd w:val="clear" w:color="auto" w:fill="FFFFFF"/>
        </w:rPr>
      </w:pPr>
      <w:r w:rsidRPr="00E43ABE">
        <w:rPr>
          <w:rFonts w:ascii="微软雅黑" w:eastAsia="微软雅黑" w:hAnsi="微软雅黑" w:cs="微软雅黑" w:hint="eastAsia"/>
          <w:color w:val="333333"/>
          <w:spacing w:val="15"/>
          <w:kern w:val="2"/>
          <w:shd w:val="clear" w:color="auto" w:fill="FFFFFF"/>
        </w:rPr>
        <w:t>2018年我国直纺涤纶短纤行业将有100万吨左右的新增产能投产。具体如下表所示：</w:t>
      </w:r>
    </w:p>
    <w:p w:rsidR="00E43ABE" w:rsidRPr="00E43ABE" w:rsidRDefault="00E43ABE" w:rsidP="00E43ABE">
      <w:pPr>
        <w:widowControl/>
        <w:jc w:val="left"/>
        <w:textAlignment w:val="center"/>
        <w:rPr>
          <w:rFonts w:ascii="微软雅黑" w:eastAsia="微软雅黑" w:hAnsi="微软雅黑" w:cs="微软雅黑"/>
          <w:b/>
          <w:color w:val="000000"/>
          <w:kern w:val="0"/>
          <w:sz w:val="16"/>
          <w:szCs w:val="16"/>
        </w:rPr>
      </w:pPr>
      <w:r w:rsidRPr="00E43ABE">
        <w:rPr>
          <w:rFonts w:ascii="微软雅黑" w:eastAsia="微软雅黑" w:hAnsi="微软雅黑" w:cs="微软雅黑" w:hint="eastAsia"/>
          <w:b/>
          <w:color w:val="000000"/>
          <w:kern w:val="0"/>
          <w:sz w:val="16"/>
          <w:szCs w:val="16"/>
        </w:rPr>
        <w:t>未来1-3年直纺涤纶短纤装置投产/改造计划表</w:t>
      </w:r>
    </w:p>
    <w:p w:rsidR="00E43ABE" w:rsidRDefault="00E43ABE" w:rsidP="00E43ABE">
      <w:pPr>
        <w:widowControl/>
        <w:jc w:val="left"/>
        <w:textAlignment w:val="center"/>
        <w:rPr>
          <w:rFonts w:ascii="微软雅黑" w:eastAsia="微软雅黑" w:hAnsi="微软雅黑" w:cs="微软雅黑"/>
          <w:b/>
          <w:color w:val="000000"/>
          <w:kern w:val="0"/>
          <w:sz w:val="16"/>
          <w:szCs w:val="16"/>
        </w:rPr>
      </w:pPr>
    </w:p>
    <w:p w:rsidR="00E43ABE" w:rsidRPr="00E43ABE" w:rsidRDefault="00E43ABE" w:rsidP="00E43ABE">
      <w:pPr>
        <w:widowControl/>
        <w:ind w:firstLineChars="4700" w:firstLine="7520"/>
        <w:jc w:val="left"/>
        <w:textAlignment w:val="center"/>
        <w:rPr>
          <w:rFonts w:ascii="微软雅黑" w:eastAsia="微软雅黑" w:hAnsi="微软雅黑" w:cs="微软雅黑"/>
          <w:b/>
          <w:color w:val="000000"/>
          <w:kern w:val="0"/>
          <w:sz w:val="16"/>
          <w:szCs w:val="16"/>
        </w:rPr>
      </w:pPr>
      <w:r w:rsidRPr="00E43ABE">
        <w:rPr>
          <w:rFonts w:ascii="微软雅黑" w:eastAsia="微软雅黑" w:hAnsi="微软雅黑" w:cs="微软雅黑" w:hint="eastAsia"/>
          <w:b/>
          <w:color w:val="000000"/>
          <w:kern w:val="0"/>
          <w:sz w:val="16"/>
          <w:szCs w:val="16"/>
        </w:rPr>
        <w:lastRenderedPageBreak/>
        <w:t>单位：万吨</w:t>
      </w:r>
    </w:p>
    <w:tbl>
      <w:tblPr>
        <w:tblW w:w="9088" w:type="dxa"/>
        <w:jc w:val="center"/>
        <w:tblInd w:w="-85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ayout w:type="fixed"/>
        <w:tblCellMar>
          <w:left w:w="0" w:type="dxa"/>
          <w:right w:w="0" w:type="dxa"/>
        </w:tblCellMar>
        <w:tblLook w:val="04A0"/>
      </w:tblPr>
      <w:tblGrid>
        <w:gridCol w:w="1320"/>
        <w:gridCol w:w="888"/>
        <w:gridCol w:w="4906"/>
        <w:gridCol w:w="1974"/>
      </w:tblGrid>
      <w:tr w:rsidR="00E43ABE" w:rsidRPr="00E43ABE" w:rsidTr="007738DA">
        <w:trPr>
          <w:trHeight w:val="291"/>
          <w:tblHeader/>
          <w:jc w:val="center"/>
        </w:trPr>
        <w:tc>
          <w:tcPr>
            <w:tcW w:w="1320" w:type="dxa"/>
            <w:tcBorders>
              <w:top w:val="single" w:sz="12" w:space="0" w:color="BBBBBB"/>
              <w:left w:val="single" w:sz="6" w:space="0" w:color="DDDDDD"/>
              <w:bottom w:val="single" w:sz="6" w:space="0" w:color="DDDDDD"/>
              <w:right w:val="single" w:sz="6" w:space="0" w:color="DDDDDD"/>
            </w:tcBorders>
            <w:shd w:val="clear" w:color="auto" w:fill="F7F7F7"/>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b/>
                <w:color w:val="000000"/>
                <w:kern w:val="0"/>
                <w:sz w:val="16"/>
                <w:szCs w:val="16"/>
              </w:rPr>
            </w:pPr>
            <w:r w:rsidRPr="00E43ABE">
              <w:rPr>
                <w:rFonts w:ascii="微软雅黑" w:eastAsia="微软雅黑" w:hAnsi="微软雅黑" w:cs="微软雅黑"/>
                <w:b/>
                <w:color w:val="000000"/>
                <w:sz w:val="16"/>
                <w:szCs w:val="16"/>
              </w:rPr>
              <w:t>企业名称</w:t>
            </w:r>
          </w:p>
        </w:tc>
        <w:tc>
          <w:tcPr>
            <w:tcW w:w="888" w:type="dxa"/>
            <w:tcBorders>
              <w:top w:val="single" w:sz="12" w:space="0" w:color="BBBBBB"/>
              <w:left w:val="single" w:sz="6" w:space="0" w:color="DDDDDD"/>
              <w:bottom w:val="single" w:sz="6" w:space="0" w:color="DDDDDD"/>
              <w:right w:val="single" w:sz="6" w:space="0" w:color="DDDDDD"/>
            </w:tcBorders>
            <w:shd w:val="clear" w:color="auto" w:fill="F7F7F7"/>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b/>
                <w:color w:val="000000"/>
                <w:kern w:val="0"/>
                <w:sz w:val="16"/>
                <w:szCs w:val="16"/>
              </w:rPr>
            </w:pPr>
            <w:r w:rsidRPr="00E43ABE">
              <w:rPr>
                <w:rFonts w:ascii="微软雅黑" w:eastAsia="微软雅黑" w:hAnsi="微软雅黑" w:cs="微软雅黑"/>
                <w:b/>
                <w:color w:val="000000"/>
                <w:sz w:val="16"/>
                <w:szCs w:val="16"/>
              </w:rPr>
              <w:t>涉及产能</w:t>
            </w:r>
          </w:p>
        </w:tc>
        <w:tc>
          <w:tcPr>
            <w:tcW w:w="4906" w:type="dxa"/>
            <w:tcBorders>
              <w:top w:val="single" w:sz="12" w:space="0" w:color="BBBBBB"/>
              <w:left w:val="single" w:sz="6" w:space="0" w:color="DDDDDD"/>
              <w:bottom w:val="single" w:sz="6" w:space="0" w:color="DDDDDD"/>
              <w:right w:val="single" w:sz="6" w:space="0" w:color="DDDDDD"/>
            </w:tcBorders>
            <w:shd w:val="clear" w:color="auto" w:fill="F7F7F7"/>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b/>
                <w:color w:val="000000"/>
                <w:kern w:val="0"/>
                <w:sz w:val="16"/>
                <w:szCs w:val="16"/>
              </w:rPr>
            </w:pPr>
            <w:r w:rsidRPr="00E43ABE">
              <w:rPr>
                <w:rFonts w:ascii="微软雅黑" w:eastAsia="微软雅黑" w:hAnsi="微软雅黑" w:cs="微软雅黑"/>
                <w:b/>
                <w:color w:val="000000"/>
                <w:sz w:val="16"/>
                <w:szCs w:val="16"/>
              </w:rPr>
              <w:t>投产时间</w:t>
            </w:r>
          </w:p>
        </w:tc>
        <w:tc>
          <w:tcPr>
            <w:tcW w:w="1974" w:type="dxa"/>
            <w:tcBorders>
              <w:top w:val="single" w:sz="12" w:space="0" w:color="BBBBBB"/>
              <w:left w:val="single" w:sz="6" w:space="0" w:color="DDDDDD"/>
              <w:bottom w:val="single" w:sz="6" w:space="0" w:color="DDDDDD"/>
              <w:right w:val="single" w:sz="6" w:space="0" w:color="DDDDDD"/>
            </w:tcBorders>
            <w:shd w:val="clear" w:color="auto" w:fill="F7F7F7"/>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b/>
                <w:color w:val="000000"/>
                <w:kern w:val="0"/>
                <w:sz w:val="16"/>
                <w:szCs w:val="16"/>
              </w:rPr>
            </w:pPr>
            <w:r w:rsidRPr="00E43ABE">
              <w:rPr>
                <w:rFonts w:ascii="微软雅黑" w:eastAsia="微软雅黑" w:hAnsi="微软雅黑" w:cs="微软雅黑"/>
                <w:color w:val="000000"/>
                <w:sz w:val="16"/>
                <w:szCs w:val="16"/>
              </w:rPr>
              <w:t>涉及品种</w:t>
            </w:r>
          </w:p>
        </w:tc>
      </w:tr>
      <w:tr w:rsidR="00E43ABE" w:rsidRPr="00E43ABE" w:rsidTr="007738DA">
        <w:trPr>
          <w:trHeight w:val="310"/>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仪征化纤</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10</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2018年4月</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涤纶短纤</w:t>
            </w:r>
          </w:p>
        </w:tc>
      </w:tr>
      <w:tr w:rsidR="00E43ABE" w:rsidRPr="00E43ABE" w:rsidTr="007738DA">
        <w:trPr>
          <w:trHeight w:val="310"/>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华西化纤</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2018年4月一套十万吨，下半年投产另外10万吨</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涤纶短纤</w:t>
            </w:r>
          </w:p>
        </w:tc>
      </w:tr>
      <w:tr w:rsidR="00E43ABE" w:rsidRPr="00E43ABE" w:rsidTr="007738DA">
        <w:trPr>
          <w:trHeight w:val="291"/>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绿宇环保</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涤纶短纤、原生中空</w:t>
            </w:r>
          </w:p>
        </w:tc>
      </w:tr>
      <w:tr w:rsidR="00E43ABE" w:rsidRPr="00E43ABE" w:rsidTr="007738DA">
        <w:trPr>
          <w:trHeight w:val="310"/>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扬州富威尔</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中空化纤、4080</w:t>
            </w:r>
          </w:p>
        </w:tc>
      </w:tr>
      <w:tr w:rsidR="00E43ABE" w:rsidRPr="00E43ABE" w:rsidTr="007738DA">
        <w:trPr>
          <w:trHeight w:val="310"/>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宁波大发</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15</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中空化纤、4080</w:t>
            </w:r>
          </w:p>
        </w:tc>
      </w:tr>
      <w:tr w:rsidR="00E43ABE" w:rsidRPr="00E43ABE" w:rsidTr="007738DA">
        <w:trPr>
          <w:trHeight w:val="291"/>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蓝孔雀</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6</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中空化纤</w:t>
            </w:r>
          </w:p>
        </w:tc>
      </w:tr>
      <w:tr w:rsidR="00E43ABE" w:rsidRPr="00E43ABE" w:rsidTr="007738DA">
        <w:trPr>
          <w:trHeight w:val="310"/>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汇维仕（改）</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5</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4080</w:t>
            </w:r>
          </w:p>
        </w:tc>
      </w:tr>
      <w:tr w:rsidR="00E43ABE" w:rsidRPr="00E43ABE" w:rsidTr="007738DA">
        <w:trPr>
          <w:trHeight w:val="330"/>
          <w:jc w:val="center"/>
        </w:trPr>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汇鑫浩特</w:t>
            </w:r>
          </w:p>
        </w:tc>
        <w:tc>
          <w:tcPr>
            <w:tcW w:w="888"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w:t>
            </w:r>
          </w:p>
        </w:tc>
        <w:tc>
          <w:tcPr>
            <w:tcW w:w="4906"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2018年</w:t>
            </w:r>
          </w:p>
        </w:tc>
        <w:tc>
          <w:tcPr>
            <w:tcW w:w="1974" w:type="dxa"/>
            <w:tcBorders>
              <w:top w:val="single" w:sz="6" w:space="0" w:color="DDDDDD"/>
              <w:left w:val="single" w:sz="6" w:space="0" w:color="DDDDDD"/>
              <w:bottom w:val="single" w:sz="6" w:space="0" w:color="DDDDDD"/>
              <w:right w:val="single" w:sz="6" w:space="0" w:color="DDDDDD"/>
            </w:tcBorders>
            <w:shd w:val="clear" w:color="auto" w:fill="FFFFFF"/>
            <w:tcMar>
              <w:top w:w="0" w:type="dxa"/>
            </w:tcMar>
            <w:vAlign w:val="center"/>
          </w:tcPr>
          <w:p w:rsidR="00E43ABE" w:rsidRPr="00E43ABE" w:rsidRDefault="00E43ABE" w:rsidP="00E43ABE">
            <w:pPr>
              <w:widowControl/>
              <w:jc w:val="center"/>
              <w:textAlignment w:val="center"/>
              <w:rPr>
                <w:rFonts w:ascii="微软雅黑" w:eastAsia="微软雅黑" w:hAnsi="微软雅黑" w:cs="微软雅黑"/>
                <w:color w:val="000000"/>
                <w:kern w:val="0"/>
                <w:sz w:val="16"/>
                <w:szCs w:val="16"/>
              </w:rPr>
            </w:pPr>
            <w:r w:rsidRPr="00E43ABE">
              <w:rPr>
                <w:rFonts w:ascii="微软雅黑" w:eastAsia="微软雅黑" w:hAnsi="微软雅黑" w:cs="微软雅黑"/>
                <w:color w:val="000000"/>
                <w:kern w:val="0"/>
                <w:sz w:val="16"/>
                <w:szCs w:val="16"/>
              </w:rPr>
              <w:t>4080</w:t>
            </w:r>
          </w:p>
        </w:tc>
      </w:tr>
    </w:tbl>
    <w:p w:rsidR="007738DA" w:rsidRDefault="007738DA" w:rsidP="00096CD7">
      <w:pPr>
        <w:spacing w:line="15" w:lineRule="auto"/>
        <w:rPr>
          <w:rFonts w:ascii="微软雅黑" w:eastAsia="微软雅黑" w:hAnsi="微软雅黑" w:cs="微软雅黑"/>
          <w:b/>
          <w:bCs/>
          <w:color w:val="2E74B5" w:themeColor="accent1" w:themeShade="BF"/>
          <w:sz w:val="32"/>
          <w:szCs w:val="32"/>
        </w:rPr>
      </w:pPr>
    </w:p>
    <w:p w:rsidR="00E43ABE" w:rsidRDefault="007738DA" w:rsidP="00096CD7">
      <w:pPr>
        <w:spacing w:line="15" w:lineRule="auto"/>
        <w:rPr>
          <w:rFonts w:ascii="微软雅黑" w:eastAsia="微软雅黑" w:hAnsi="微软雅黑" w:cs="微软雅黑"/>
          <w:b/>
          <w:bCs/>
          <w:color w:val="2E74B5" w:themeColor="accent1" w:themeShade="BF"/>
          <w:sz w:val="32"/>
          <w:szCs w:val="32"/>
        </w:rPr>
      </w:pPr>
      <w:r>
        <w:rPr>
          <w:rFonts w:ascii="微软雅黑" w:eastAsia="微软雅黑" w:hAnsi="微软雅黑" w:cs="微软雅黑" w:hint="eastAsia"/>
          <w:b/>
          <w:bCs/>
          <w:color w:val="2E74B5" w:themeColor="accent1" w:themeShade="BF"/>
          <w:sz w:val="32"/>
          <w:szCs w:val="32"/>
        </w:rPr>
        <w:t>三、</w:t>
      </w:r>
      <w:r w:rsidR="00E43ABE">
        <w:rPr>
          <w:rFonts w:ascii="微软雅黑" w:eastAsia="微软雅黑" w:hAnsi="微软雅黑" w:cs="微软雅黑" w:hint="eastAsia"/>
          <w:b/>
          <w:bCs/>
          <w:color w:val="2E74B5" w:themeColor="accent1" w:themeShade="BF"/>
          <w:sz w:val="32"/>
          <w:szCs w:val="32"/>
        </w:rPr>
        <w:t>供与求</w:t>
      </w:r>
    </w:p>
    <w:p w:rsidR="00E43ABE" w:rsidRDefault="00E43ABE" w:rsidP="00E43ABE">
      <w:pPr>
        <w:rPr>
          <w:rFonts w:ascii="微软雅黑" w:eastAsia="微软雅黑" w:hAnsi="微软雅黑" w:cs="微软雅黑"/>
          <w:color w:val="333333"/>
          <w:spacing w:val="15"/>
          <w:sz w:val="18"/>
          <w:szCs w:val="18"/>
          <w:shd w:val="clear" w:color="auto" w:fill="FFFFFF"/>
        </w:rPr>
      </w:pPr>
      <w:r>
        <w:rPr>
          <w:rFonts w:ascii="微软雅黑" w:eastAsia="微软雅黑" w:hAnsi="微软雅黑" w:cs="微软雅黑" w:hint="eastAsia"/>
          <w:b/>
          <w:bCs/>
          <w:sz w:val="24"/>
        </w:rPr>
        <w:t>(一）华东市场成交价格一览</w:t>
      </w:r>
    </w:p>
    <w:p w:rsidR="00E43ABE" w:rsidRDefault="00E43ABE" w:rsidP="00E43ABE">
      <w:pPr>
        <w:spacing w:line="15" w:lineRule="auto"/>
        <w:rPr>
          <w:rFonts w:ascii="微软雅黑" w:eastAsia="微软雅黑" w:hAnsi="微软雅黑" w:cs="微软雅黑"/>
          <w:b/>
          <w:bCs/>
          <w:color w:val="2E74B5" w:themeColor="accent1" w:themeShade="BF"/>
          <w:sz w:val="32"/>
          <w:szCs w:val="32"/>
        </w:rPr>
      </w:pPr>
      <w:r w:rsidRPr="00E43ABE">
        <w:rPr>
          <w:rFonts w:ascii="微软雅黑" w:eastAsia="微软雅黑" w:hAnsi="微软雅黑" w:cs="微软雅黑" w:hint="eastAsia"/>
          <w:noProof/>
          <w:szCs w:val="21"/>
        </w:rPr>
        <w:drawing>
          <wp:inline distT="0" distB="0" distL="114300" distR="114300">
            <wp:extent cx="5544774" cy="1478072"/>
            <wp:effectExtent l="19050" t="0" r="0" b="0"/>
            <wp:docPr id="7" name="图片 2" descr="92082364254453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20823642544537077"/>
                    <pic:cNvPicPr>
                      <a:picLocks noChangeAspect="1"/>
                    </pic:cNvPicPr>
                  </pic:nvPicPr>
                  <pic:blipFill>
                    <a:blip r:embed="rId8" cstate="print"/>
                    <a:stretch>
                      <a:fillRect/>
                    </a:stretch>
                  </pic:blipFill>
                  <pic:spPr>
                    <a:xfrm>
                      <a:off x="0" y="0"/>
                      <a:ext cx="5544774" cy="1478072"/>
                    </a:xfrm>
                    <a:prstGeom prst="rect">
                      <a:avLst/>
                    </a:prstGeom>
                  </pic:spPr>
                </pic:pic>
              </a:graphicData>
            </a:graphic>
          </wp:inline>
        </w:drawing>
      </w:r>
    </w:p>
    <w:p w:rsidR="00E43ABE" w:rsidRDefault="00E43ABE" w:rsidP="00E43ABE">
      <w:pPr>
        <w:spacing w:line="15" w:lineRule="auto"/>
        <w:rPr>
          <w:rFonts w:ascii="微软雅黑" w:eastAsia="微软雅黑" w:hAnsi="微软雅黑" w:cs="微软雅黑"/>
          <w:b/>
          <w:bCs/>
          <w:color w:val="2E74B5" w:themeColor="accent1" w:themeShade="BF"/>
          <w:sz w:val="32"/>
          <w:szCs w:val="32"/>
        </w:rPr>
      </w:pPr>
      <w:r w:rsidRPr="00E43ABE">
        <w:rPr>
          <w:rFonts w:ascii="微软雅黑" w:eastAsia="微软雅黑" w:hAnsi="微软雅黑" w:cs="微软雅黑" w:hint="eastAsia"/>
          <w:b/>
          <w:bCs/>
          <w:noProof/>
          <w:color w:val="2E74B5" w:themeColor="accent1" w:themeShade="BF"/>
          <w:sz w:val="32"/>
          <w:szCs w:val="32"/>
        </w:rPr>
        <w:drawing>
          <wp:inline distT="0" distB="0" distL="114300" distR="114300">
            <wp:extent cx="5540776" cy="1164651"/>
            <wp:effectExtent l="19050" t="0" r="2774" b="0"/>
            <wp:docPr id="9" name="图片 3" descr="137627864510520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37627864510520993"/>
                    <pic:cNvPicPr>
                      <a:picLocks noChangeAspect="1"/>
                    </pic:cNvPicPr>
                  </pic:nvPicPr>
                  <pic:blipFill>
                    <a:blip r:embed="rId9" cstate="print"/>
                    <a:stretch>
                      <a:fillRect/>
                    </a:stretch>
                  </pic:blipFill>
                  <pic:spPr>
                    <a:xfrm>
                      <a:off x="0" y="0"/>
                      <a:ext cx="5540776" cy="1164651"/>
                    </a:xfrm>
                    <a:prstGeom prst="rect">
                      <a:avLst/>
                    </a:prstGeom>
                  </pic:spPr>
                </pic:pic>
              </a:graphicData>
            </a:graphic>
          </wp:inline>
        </w:drawing>
      </w:r>
    </w:p>
    <w:p w:rsidR="00867417" w:rsidRDefault="00867417" w:rsidP="00E43ABE">
      <w:pPr>
        <w:spacing w:line="15" w:lineRule="auto"/>
        <w:rPr>
          <w:rFonts w:ascii="微软雅黑" w:eastAsia="微软雅黑" w:hAnsi="微软雅黑" w:cs="微软雅黑"/>
          <w:b/>
          <w:bCs/>
          <w:color w:val="2E74B5" w:themeColor="accent1" w:themeShade="BF"/>
          <w:sz w:val="32"/>
          <w:szCs w:val="32"/>
        </w:rPr>
      </w:pPr>
    </w:p>
    <w:p w:rsidR="00867417" w:rsidRDefault="00867417" w:rsidP="00867417">
      <w:pPr>
        <w:rPr>
          <w:rFonts w:ascii="微软雅黑" w:eastAsia="微软雅黑" w:hAnsi="微软雅黑" w:cs="微软雅黑"/>
          <w:color w:val="333333"/>
          <w:spacing w:val="15"/>
          <w:sz w:val="18"/>
          <w:szCs w:val="18"/>
          <w:shd w:val="clear" w:color="auto" w:fill="FFFFFF"/>
        </w:rPr>
      </w:pPr>
      <w:r>
        <w:rPr>
          <w:rFonts w:ascii="微软雅黑" w:eastAsia="微软雅黑" w:hAnsi="微软雅黑" w:cs="微软雅黑" w:hint="eastAsia"/>
          <w:b/>
          <w:bCs/>
          <w:sz w:val="24"/>
        </w:rPr>
        <w:t>(二）华东市场</w:t>
      </w:r>
    </w:p>
    <w:p w:rsidR="00E43ABE" w:rsidRPr="00867417" w:rsidRDefault="00867417" w:rsidP="00E43ABE">
      <w:pPr>
        <w:rPr>
          <w:rFonts w:ascii="微软雅黑" w:eastAsia="微软雅黑" w:hAnsi="微软雅黑" w:cs="微软雅黑"/>
          <w:color w:val="333333"/>
          <w:spacing w:val="15"/>
          <w:sz w:val="24"/>
          <w:shd w:val="clear" w:color="auto" w:fill="FFFFFF"/>
        </w:rPr>
        <w:sectPr w:rsidR="00E43ABE" w:rsidRPr="00867417">
          <w:headerReference w:type="default" r:id="rId10"/>
          <w:footerReference w:type="default" r:id="rId11"/>
          <w:pgSz w:w="11906" w:h="16838"/>
          <w:pgMar w:top="1440" w:right="1800" w:bottom="1440" w:left="1800" w:header="851" w:footer="992" w:gutter="0"/>
          <w:cols w:space="425"/>
          <w:docGrid w:type="lines" w:linePitch="312"/>
        </w:sectPr>
      </w:pPr>
      <w:r w:rsidRPr="00867417">
        <w:rPr>
          <w:rFonts w:ascii="微软雅黑" w:eastAsia="微软雅黑" w:hAnsi="微软雅黑" w:cs="微软雅黑" w:hint="eastAsia"/>
          <w:color w:val="333333"/>
          <w:spacing w:val="15"/>
          <w:sz w:val="24"/>
          <w:shd w:val="clear" w:color="auto" w:fill="FFFFFF"/>
        </w:rPr>
        <w:t>上午华东乙二醇市场弱势震荡，早间价格下跌明显，现货报盘7880-7980，递盘7850-7950，递报盘价差明显，午间商谈重心有所回升而后震荡调整，现货报盘7870-7920，递盘7860-7900，成交7870-7900。（单位：元/吨）</w:t>
      </w:r>
    </w:p>
    <w:p w:rsidR="00096CD7" w:rsidRDefault="00096CD7" w:rsidP="00096CD7">
      <w:pPr>
        <w:spacing w:line="15" w:lineRule="auto"/>
        <w:rPr>
          <w:rFonts w:ascii="微软雅黑" w:eastAsia="微软雅黑" w:hAnsi="微软雅黑" w:cs="微软雅黑"/>
          <w:b/>
          <w:bCs/>
          <w:color w:val="2E74B5" w:themeColor="accent1" w:themeShade="BF"/>
          <w:sz w:val="32"/>
          <w:szCs w:val="32"/>
        </w:rPr>
      </w:pPr>
      <w:r>
        <w:rPr>
          <w:rFonts w:ascii="微软雅黑" w:eastAsia="微软雅黑" w:hAnsi="微软雅黑" w:cs="微软雅黑" w:hint="eastAsia"/>
          <w:b/>
          <w:bCs/>
          <w:color w:val="2E74B5" w:themeColor="accent1" w:themeShade="BF"/>
          <w:sz w:val="32"/>
          <w:szCs w:val="32"/>
        </w:rPr>
        <w:lastRenderedPageBreak/>
        <w:t>四、关键因素</w:t>
      </w:r>
    </w:p>
    <w:p w:rsidR="00096CD7" w:rsidRPr="00867417" w:rsidRDefault="00096CD7" w:rsidP="00096CD7">
      <w:pPr>
        <w:rPr>
          <w:rFonts w:ascii="微软雅黑" w:eastAsia="微软雅黑" w:hAnsi="微软雅黑" w:cs="微软雅黑"/>
          <w:color w:val="333333"/>
          <w:spacing w:val="15"/>
          <w:sz w:val="18"/>
          <w:szCs w:val="18"/>
          <w:shd w:val="clear" w:color="auto" w:fill="FFFFFF"/>
        </w:rPr>
      </w:pPr>
      <w:r>
        <w:rPr>
          <w:rFonts w:ascii="微软雅黑" w:eastAsia="微软雅黑" w:hAnsi="微软雅黑" w:cs="微软雅黑" w:hint="eastAsia"/>
          <w:b/>
          <w:bCs/>
          <w:sz w:val="24"/>
        </w:rPr>
        <w:t>(一）MEG电子盘</w:t>
      </w:r>
    </w:p>
    <w:p w:rsidR="005A36FC" w:rsidRDefault="005A36FC" w:rsidP="005A36FC">
      <w:pPr>
        <w:rPr>
          <w:rFonts w:ascii="微软雅黑" w:eastAsia="微软雅黑" w:hAnsi="微软雅黑" w:cs="微软雅黑"/>
          <w:color w:val="333333"/>
          <w:spacing w:val="15"/>
          <w:sz w:val="24"/>
          <w:shd w:val="clear" w:color="auto" w:fill="FFFFFF"/>
        </w:rPr>
      </w:pPr>
      <w:r>
        <w:rPr>
          <w:rFonts w:ascii="微软雅黑" w:eastAsia="微软雅黑" w:hAnsi="微软雅黑" w:cs="微软雅黑" w:hint="eastAsia"/>
          <w:noProof/>
          <w:color w:val="333333"/>
          <w:spacing w:val="15"/>
          <w:sz w:val="24"/>
          <w:shd w:val="clear" w:color="auto" w:fill="FFFFFF"/>
        </w:rPr>
        <w:drawing>
          <wp:inline distT="0" distB="0" distL="0" distR="0">
            <wp:extent cx="5399640" cy="1641672"/>
            <wp:effectExtent l="19050" t="0" r="0" b="0"/>
            <wp:docPr id="3" name="图片 2" descr="C:\Users\Administrator\Desktop\微信图片_2018012510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180125101756.png"/>
                    <pic:cNvPicPr>
                      <a:picLocks noChangeAspect="1" noChangeArrowheads="1"/>
                    </pic:cNvPicPr>
                  </pic:nvPicPr>
                  <pic:blipFill>
                    <a:blip r:embed="rId12" cstate="print"/>
                    <a:srcRect/>
                    <a:stretch>
                      <a:fillRect/>
                    </a:stretch>
                  </pic:blipFill>
                  <pic:spPr bwMode="auto">
                    <a:xfrm>
                      <a:off x="0" y="0"/>
                      <a:ext cx="5407383" cy="1644026"/>
                    </a:xfrm>
                    <a:prstGeom prst="rect">
                      <a:avLst/>
                    </a:prstGeom>
                    <a:noFill/>
                    <a:ln w="9525">
                      <a:noFill/>
                      <a:miter lim="800000"/>
                      <a:headEnd/>
                      <a:tailEnd/>
                    </a:ln>
                  </pic:spPr>
                </pic:pic>
              </a:graphicData>
            </a:graphic>
          </wp:inline>
        </w:drawing>
      </w:r>
    </w:p>
    <w:p w:rsidR="00096CD7" w:rsidRDefault="00096CD7" w:rsidP="00096CD7">
      <w:pPr>
        <w:ind w:firstLineChars="200" w:firstLine="540"/>
        <w:rPr>
          <w:rFonts w:ascii="微软雅黑" w:eastAsia="微软雅黑" w:hAnsi="微软雅黑" w:cs="微软雅黑"/>
          <w:color w:val="333333"/>
          <w:spacing w:val="15"/>
          <w:sz w:val="24"/>
          <w:shd w:val="clear" w:color="auto" w:fill="FFFFFF"/>
        </w:rPr>
      </w:pPr>
      <w:r w:rsidRPr="00867417">
        <w:rPr>
          <w:rFonts w:ascii="微软雅黑" w:eastAsia="微软雅黑" w:hAnsi="微软雅黑" w:cs="微软雅黑" w:hint="eastAsia"/>
          <w:color w:val="333333"/>
          <w:spacing w:val="15"/>
          <w:sz w:val="24"/>
          <w:shd w:val="clear" w:color="auto" w:fill="FFFFFF"/>
        </w:rPr>
        <w:t>1月24日MEG1803电子盘今日继续延续昨日走势，截至下午收盘，有稳于7800，与现货市场价差小。订货量有明显增加，据悉部分市场人士获利，离开观望为主，操盘谨慎，低价买盘活跃。</w:t>
      </w:r>
      <w:r w:rsidRPr="00867417">
        <w:rPr>
          <w:rFonts w:ascii="微软雅黑" w:eastAsia="微软雅黑" w:hAnsi="微软雅黑" w:cs="微软雅黑"/>
          <w:color w:val="333333"/>
          <w:spacing w:val="15"/>
          <w:sz w:val="24"/>
          <w:shd w:val="clear" w:color="auto" w:fill="FFFFFF"/>
        </w:rPr>
        <w:t>（单位：元/吨）</w:t>
      </w:r>
    </w:p>
    <w:p w:rsidR="00096CD7" w:rsidRDefault="00096CD7" w:rsidP="00096CD7">
      <w:pPr>
        <w:rPr>
          <w:rFonts w:ascii="微软雅黑" w:eastAsia="微软雅黑" w:hAnsi="微软雅黑" w:cs="微软雅黑"/>
          <w:color w:val="333333"/>
          <w:spacing w:val="15"/>
          <w:sz w:val="18"/>
          <w:szCs w:val="18"/>
          <w:shd w:val="clear" w:color="auto" w:fill="FFFFFF"/>
        </w:rPr>
      </w:pPr>
      <w:r>
        <w:rPr>
          <w:rFonts w:ascii="微软雅黑" w:eastAsia="微软雅黑" w:hAnsi="微软雅黑" w:cs="微软雅黑" w:hint="eastAsia"/>
          <w:b/>
          <w:bCs/>
          <w:sz w:val="24"/>
        </w:rPr>
        <w:t>(二）关注下游产销情况，以及库存状态</w:t>
      </w:r>
    </w:p>
    <w:p w:rsidR="00C143FF" w:rsidRDefault="005C310B" w:rsidP="005C310B">
      <w:pPr>
        <w:ind w:firstLineChars="200" w:firstLine="540"/>
        <w:rPr>
          <w:rFonts w:ascii="微软雅黑" w:eastAsia="微软雅黑" w:hAnsi="微软雅黑" w:cs="微软雅黑"/>
          <w:sz w:val="20"/>
          <w:szCs w:val="20"/>
        </w:rPr>
      </w:pPr>
      <w:r>
        <w:rPr>
          <w:rFonts w:ascii="微软雅黑" w:eastAsia="微软雅黑" w:hAnsi="微软雅黑" w:cs="微软雅黑" w:hint="eastAsia"/>
          <w:color w:val="333333"/>
          <w:spacing w:val="15"/>
          <w:sz w:val="24"/>
          <w:shd w:val="clear" w:color="auto" w:fill="FFFFFF"/>
        </w:rPr>
        <w:t>下游直纺丝产销回暖，市场信心会好于去年春节前后。</w:t>
      </w:r>
    </w:p>
    <w:sectPr w:rsidR="00C143FF" w:rsidSect="00C143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BF" w:rsidRDefault="001F02BF" w:rsidP="00C143FF">
      <w:r>
        <w:separator/>
      </w:r>
    </w:p>
  </w:endnote>
  <w:endnote w:type="continuationSeparator" w:id="0">
    <w:p w:rsidR="001F02BF" w:rsidRDefault="001F02BF" w:rsidP="00C14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auto"/>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FF" w:rsidRDefault="00A44182">
    <w:pPr>
      <w:pStyle w:val="a3"/>
      <w:pBdr>
        <w:top w:val="none" w:sz="0" w:space="1" w:color="auto"/>
        <w:left w:val="none" w:sz="0" w:space="4" w:color="auto"/>
        <w:bottom w:val="single" w:sz="4" w:space="2" w:color="auto"/>
        <w:right w:val="none" w:sz="0" w:space="4" w:color="auto"/>
      </w:pBdr>
    </w:pPr>
    <w:r>
      <w:pict>
        <v:shapetype id="_x0000_t202" coordsize="21600,21600" o:spt="202" path="m,l,21600r21600,l21600,xe">
          <v:stroke joinstyle="miter"/>
          <v:path gradientshapeok="t" o:connecttype="rect"/>
        </v:shapetype>
        <v:shape id="_x0000_s2049" type="#_x0000_t202" style="position:absolute;margin-left:345.8pt;margin-top:-4.95pt;width:2in;height:2in;z-index:251658240;mso-wrap-style:none;mso-position-horizontal-relative:margin" o:gfxdata="UEsDBAoAAAAAAIdO4kAAAAAAAAAAAAAAAAAEAAAAZHJzL1BLAwQUAAAACACHTuJA0B5+g9gAAAAK&#10;AQAADwAAAGRycy9kb3ducmV2LnhtbE2Py07DMBBF90j8gzVI7FonBaV1iFOJirBEomHB0o2HJOBH&#10;ZLtp+HuGFSxn5ujOudV+sYbNGOLonYR8nQFD13k9ul7CW9usdsBiUk4r4x1K+MYI+/r6qlKl9hf3&#10;ivMx9YxCXCyVhCGlqeQ8dgNaFdd+Qke3Dx+sSjSGnuugLhRuDd9kWcGtGh19GNSEhwG7r+PZSjg0&#10;bRtmjMG843Nz9/nyeI9Pi5S3N3n2ACzhkv5g+NUndajJ6eTPTkdmJBQiLwiVsBICGAFiK2hxkrDZ&#10;7nLgdcX/V6h/AF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B5+g9gAAAAKAQAADwAAAAAA&#10;AAABACAAAAAiAAAAZHJzL2Rvd25yZXYueG1sUEsBAhQAFAAAAAgAh07iQAXccrATAgAAEwQAAA4A&#10;AAAAAAAAAQAgAAAAJwEAAGRycy9lMm9Eb2MueG1sUEsFBgAAAAAGAAYAWQEAAKwFAAAAAA==&#10;" filled="f" stroked="f" strokeweight=".5pt">
          <v:textbox style="mso-fit-shape-to-text:t" inset="0,0,0,0">
            <w:txbxContent>
              <w:p w:rsidR="00C143FF" w:rsidRDefault="00575E11">
                <w:pPr>
                  <w:pStyle w:val="a3"/>
                  <w:rPr>
                    <w:rFonts w:ascii="微软雅黑" w:eastAsia="微软雅黑" w:hAnsi="微软雅黑" w:cs="微软雅黑"/>
                    <w:szCs w:val="18"/>
                  </w:rPr>
                </w:pPr>
                <w:r>
                  <w:rPr>
                    <w:rFonts w:ascii="微软雅黑" w:eastAsia="微软雅黑" w:hAnsi="微软雅黑" w:cs="微软雅黑" w:hint="eastAsia"/>
                    <w:szCs w:val="18"/>
                  </w:rPr>
                  <w:t xml:space="preserve">第 </w:t>
                </w:r>
                <w:r w:rsidR="00A44182">
                  <w:rPr>
                    <w:rFonts w:ascii="微软雅黑" w:eastAsia="微软雅黑" w:hAnsi="微软雅黑" w:cs="微软雅黑" w:hint="eastAsia"/>
                    <w:szCs w:val="18"/>
                  </w:rPr>
                  <w:fldChar w:fldCharType="begin"/>
                </w:r>
                <w:r>
                  <w:rPr>
                    <w:rFonts w:ascii="微软雅黑" w:eastAsia="微软雅黑" w:hAnsi="微软雅黑" w:cs="微软雅黑" w:hint="eastAsia"/>
                    <w:szCs w:val="18"/>
                  </w:rPr>
                  <w:instrText xml:space="preserve"> PAGE  \* MERGEFORMAT </w:instrText>
                </w:r>
                <w:r w:rsidR="00A44182">
                  <w:rPr>
                    <w:rFonts w:ascii="微软雅黑" w:eastAsia="微软雅黑" w:hAnsi="微软雅黑" w:cs="微软雅黑" w:hint="eastAsia"/>
                    <w:szCs w:val="18"/>
                  </w:rPr>
                  <w:fldChar w:fldCharType="separate"/>
                </w:r>
                <w:r w:rsidR="005C310B">
                  <w:rPr>
                    <w:rFonts w:ascii="微软雅黑" w:eastAsia="微软雅黑" w:hAnsi="微软雅黑" w:cs="微软雅黑"/>
                    <w:noProof/>
                    <w:szCs w:val="18"/>
                  </w:rPr>
                  <w:t>3</w:t>
                </w:r>
                <w:r w:rsidR="00A44182">
                  <w:rPr>
                    <w:rFonts w:ascii="微软雅黑" w:eastAsia="微软雅黑" w:hAnsi="微软雅黑" w:cs="微软雅黑" w:hint="eastAsia"/>
                    <w:szCs w:val="18"/>
                  </w:rPr>
                  <w:fldChar w:fldCharType="end"/>
                </w:r>
                <w:r>
                  <w:rPr>
                    <w:rFonts w:ascii="微软雅黑" w:eastAsia="微软雅黑" w:hAnsi="微软雅黑" w:cs="微软雅黑" w:hint="eastAsia"/>
                    <w:szCs w:val="18"/>
                  </w:rPr>
                  <w:t xml:space="preserve"> 页 共 </w:t>
                </w:r>
                <w:fldSimple w:instr=" NUMPAGES  \* MERGEFORMAT ">
                  <w:r w:rsidR="005C310B" w:rsidRPr="005C310B">
                    <w:rPr>
                      <w:rFonts w:ascii="微软雅黑" w:eastAsia="微软雅黑" w:hAnsi="微软雅黑" w:cs="微软雅黑"/>
                      <w:noProof/>
                      <w:szCs w:val="18"/>
                    </w:rPr>
                    <w:t>3</w:t>
                  </w:r>
                </w:fldSimple>
                <w:r>
                  <w:rPr>
                    <w:rFonts w:ascii="微软雅黑" w:eastAsia="微软雅黑" w:hAnsi="微软雅黑" w:cs="微软雅黑" w:hint="eastAsia"/>
                    <w:szCs w:val="18"/>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BF" w:rsidRDefault="001F02BF" w:rsidP="00C143FF">
      <w:r>
        <w:separator/>
      </w:r>
    </w:p>
  </w:footnote>
  <w:footnote w:type="continuationSeparator" w:id="0">
    <w:p w:rsidR="001F02BF" w:rsidRDefault="001F02BF" w:rsidP="00C14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FF" w:rsidRDefault="00575E11">
    <w:pPr>
      <w:pStyle w:val="a4"/>
      <w:pBdr>
        <w:bottom w:val="single" w:sz="4" w:space="1" w:color="000000"/>
      </w:pBdr>
      <w:rPr>
        <w:rFonts w:ascii="微软雅黑" w:eastAsia="微软雅黑" w:hAnsi="微软雅黑" w:cs="微软雅黑"/>
        <w:b/>
        <w:bCs/>
        <w:sz w:val="21"/>
        <w:szCs w:val="21"/>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margin">
            <wp:posOffset>0</wp:posOffset>
          </wp:positionV>
          <wp:extent cx="8501380" cy="12029440"/>
          <wp:effectExtent l="3007995" t="0" r="3025775" b="252730"/>
          <wp:wrapNone/>
          <wp:docPr id="11" name="WordPictureWatermark12829" descr="f7de29c2d808c432160a9604cb94ff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2829" descr="f7de29c2d808c432160a9604cb94ff42"/>
                  <pic:cNvPicPr>
                    <a:picLocks noChangeAspect="1"/>
                  </pic:cNvPicPr>
                </pic:nvPicPr>
                <pic:blipFill>
                  <a:blip r:embed="rId1">
                    <a:lum bright="70000" contrast="-70000"/>
                  </a:blip>
                  <a:stretch>
                    <a:fillRect/>
                  </a:stretch>
                </pic:blipFill>
                <pic:spPr>
                  <a:xfrm rot="18900000">
                    <a:off x="0" y="0"/>
                    <a:ext cx="8501380" cy="12029440"/>
                  </a:xfrm>
                  <a:prstGeom prst="rect">
                    <a:avLst/>
                  </a:prstGeom>
                </pic:spPr>
              </pic:pic>
            </a:graphicData>
          </a:graphic>
        </wp:anchor>
      </w:drawing>
    </w:r>
    <w:r>
      <w:rPr>
        <w:rFonts w:hint="eastAsia"/>
        <w:noProof/>
      </w:rPr>
      <w:drawing>
        <wp:inline distT="0" distB="0" distL="114300" distR="114300">
          <wp:extent cx="1094740" cy="262890"/>
          <wp:effectExtent l="0" t="0" r="10160" b="381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2"/>
                  <a:stretch>
                    <a:fillRect/>
                  </a:stretch>
                </pic:blipFill>
                <pic:spPr>
                  <a:xfrm>
                    <a:off x="0" y="0"/>
                    <a:ext cx="1094740" cy="262890"/>
                  </a:xfrm>
                  <a:prstGeom prst="rect">
                    <a:avLst/>
                  </a:prstGeom>
                </pic:spPr>
              </pic:pic>
            </a:graphicData>
          </a:graphic>
        </wp:inline>
      </w:drawing>
    </w:r>
    <w:r>
      <w:rPr>
        <w:rFonts w:hint="eastAsia"/>
      </w:rPr>
      <w:t xml:space="preserve">                                                               </w:t>
    </w:r>
    <w:r w:rsidR="005432D3">
      <w:rPr>
        <w:rFonts w:ascii="微软雅黑" w:eastAsia="微软雅黑" w:hAnsi="微软雅黑" w:cs="微软雅黑" w:hint="eastAsia"/>
        <w:b/>
        <w:bCs/>
        <w:sz w:val="21"/>
        <w:szCs w:val="21"/>
      </w:rPr>
      <w:t>日</w:t>
    </w:r>
    <w:r>
      <w:rPr>
        <w:rFonts w:ascii="微软雅黑" w:eastAsia="微软雅黑" w:hAnsi="微软雅黑" w:cs="微软雅黑" w:hint="eastAsia"/>
        <w:b/>
        <w:bCs/>
        <w:sz w:val="21"/>
        <w:szCs w:val="21"/>
      </w:rPr>
      <w:t>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88AB8"/>
    <w:multiLevelType w:val="singleLevel"/>
    <w:tmpl w:val="5A688AB8"/>
    <w:lvl w:ilvl="0">
      <w:start w:val="1"/>
      <w:numFmt w:val="decimal"/>
      <w:lvlText w:val="%1."/>
      <w:lvlJc w:val="left"/>
      <w:pPr>
        <w:tabs>
          <w:tab w:val="left" w:pos="312"/>
        </w:tabs>
      </w:pPr>
    </w:lvl>
  </w:abstractNum>
  <w:abstractNum w:abstractNumId="1">
    <w:nsid w:val="74801AD1"/>
    <w:multiLevelType w:val="singleLevel"/>
    <w:tmpl w:val="74801AD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3FF"/>
    <w:rsid w:val="00096CD7"/>
    <w:rsid w:val="00111E3B"/>
    <w:rsid w:val="001F02BF"/>
    <w:rsid w:val="00225A04"/>
    <w:rsid w:val="00345E60"/>
    <w:rsid w:val="005104B7"/>
    <w:rsid w:val="005432D3"/>
    <w:rsid w:val="00575E11"/>
    <w:rsid w:val="005A36FC"/>
    <w:rsid w:val="005C310B"/>
    <w:rsid w:val="00615355"/>
    <w:rsid w:val="00734044"/>
    <w:rsid w:val="007738DA"/>
    <w:rsid w:val="00867417"/>
    <w:rsid w:val="00902357"/>
    <w:rsid w:val="00A44182"/>
    <w:rsid w:val="00B41F7B"/>
    <w:rsid w:val="00C143FF"/>
    <w:rsid w:val="00D11307"/>
    <w:rsid w:val="00E43ABE"/>
    <w:rsid w:val="090662CD"/>
    <w:rsid w:val="0E55173D"/>
    <w:rsid w:val="147C6668"/>
    <w:rsid w:val="14D40960"/>
    <w:rsid w:val="15AC6D2B"/>
    <w:rsid w:val="15FC25EB"/>
    <w:rsid w:val="1ADA7B49"/>
    <w:rsid w:val="22C1736F"/>
    <w:rsid w:val="22DE2A68"/>
    <w:rsid w:val="263A2E29"/>
    <w:rsid w:val="2A636192"/>
    <w:rsid w:val="2CDD2CEE"/>
    <w:rsid w:val="2E67741A"/>
    <w:rsid w:val="2F6A54DB"/>
    <w:rsid w:val="3A0253E2"/>
    <w:rsid w:val="3E1B1EA9"/>
    <w:rsid w:val="40DA590F"/>
    <w:rsid w:val="47411DC7"/>
    <w:rsid w:val="4E617699"/>
    <w:rsid w:val="50D30C6A"/>
    <w:rsid w:val="52A33F76"/>
    <w:rsid w:val="5D7F75AE"/>
    <w:rsid w:val="65524DF9"/>
    <w:rsid w:val="665B4F7E"/>
    <w:rsid w:val="687C59A2"/>
    <w:rsid w:val="712F79F8"/>
    <w:rsid w:val="72C039E7"/>
    <w:rsid w:val="758B2C8D"/>
    <w:rsid w:val="773B4281"/>
    <w:rsid w:val="79AC4E7F"/>
    <w:rsid w:val="7B294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3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43FF"/>
    <w:pPr>
      <w:tabs>
        <w:tab w:val="center" w:pos="4153"/>
        <w:tab w:val="right" w:pos="8306"/>
      </w:tabs>
      <w:snapToGrid w:val="0"/>
      <w:jc w:val="left"/>
    </w:pPr>
    <w:rPr>
      <w:sz w:val="18"/>
    </w:rPr>
  </w:style>
  <w:style w:type="paragraph" w:styleId="a4">
    <w:name w:val="header"/>
    <w:basedOn w:val="a"/>
    <w:rsid w:val="00C143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C143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5432D3"/>
    <w:rPr>
      <w:sz w:val="18"/>
      <w:szCs w:val="18"/>
    </w:rPr>
  </w:style>
  <w:style w:type="character" w:customStyle="1" w:styleId="Char">
    <w:name w:val="批注框文本 Char"/>
    <w:basedOn w:val="a0"/>
    <w:link w:val="a6"/>
    <w:rsid w:val="005432D3"/>
    <w:rPr>
      <w:kern w:val="2"/>
      <w:sz w:val="18"/>
      <w:szCs w:val="18"/>
    </w:rPr>
  </w:style>
  <w:style w:type="paragraph" w:styleId="a7">
    <w:name w:val="Normal (Web)"/>
    <w:basedOn w:val="a"/>
    <w:rsid w:val="00E43ABE"/>
    <w:pPr>
      <w:spacing w:beforeAutospacing="1" w:afterAutospacing="1"/>
      <w:jc w:val="left"/>
    </w:pPr>
    <w:rPr>
      <w:rFonts w:cs="Times New Roman"/>
      <w:kern w:val="0"/>
      <w:sz w:val="24"/>
    </w:rPr>
  </w:style>
  <w:style w:type="character" w:styleId="a8">
    <w:name w:val="Strong"/>
    <w:basedOn w:val="a0"/>
    <w:qFormat/>
    <w:rsid w:val="00E43ABE"/>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2014-10-29T12:08:00Z</dcterms:created>
  <dcterms:modified xsi:type="dcterms:W3CDTF">2018-01-25T02:23:00Z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